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28" w:rsidRDefault="00532F38" w:rsidP="00562FE0">
      <w:pPr>
        <w:pStyle w:val="2"/>
        <w:adjustRightInd w:val="0"/>
        <w:snapToGrid w:val="0"/>
        <w:jc w:val="center"/>
      </w:pPr>
      <w:r>
        <w:rPr>
          <w:rFonts w:hint="eastAsia"/>
        </w:rPr>
        <w:t>经济学院</w:t>
      </w:r>
      <w:r w:rsidR="000F5728">
        <w:t>研究生国家奖学金评奖</w:t>
      </w:r>
      <w:r w:rsidR="00E734FF">
        <w:rPr>
          <w:rFonts w:hint="eastAsia"/>
        </w:rPr>
        <w:t>实施细则（暂行）</w:t>
      </w:r>
    </w:p>
    <w:p w:rsidR="00562FE0" w:rsidRPr="00562FE0" w:rsidRDefault="00562FE0" w:rsidP="00562FE0">
      <w:pPr>
        <w:pStyle w:val="2"/>
        <w:adjustRightInd w:val="0"/>
        <w:snapToGrid w:val="0"/>
        <w:jc w:val="center"/>
        <w:rPr>
          <w:rFonts w:hint="eastAsia"/>
        </w:rPr>
      </w:pPr>
      <w:r>
        <w:rPr>
          <w:rFonts w:hint="eastAsia"/>
        </w:rPr>
        <w:t>（</w:t>
      </w:r>
      <w:r w:rsidRPr="00562FE0">
        <w:t>2015</w:t>
      </w:r>
      <w:r>
        <w:rPr>
          <w:rFonts w:hint="eastAsia"/>
        </w:rPr>
        <w:t>年9月</w:t>
      </w:r>
      <w:r w:rsidRPr="00562FE0">
        <w:t>25</w:t>
      </w:r>
      <w:r>
        <w:rPr>
          <w:rFonts w:hint="eastAsia"/>
        </w:rPr>
        <w:t>日修订）</w:t>
      </w:r>
    </w:p>
    <w:p w:rsidR="00612665" w:rsidRDefault="00612665" w:rsidP="00612665">
      <w:pPr>
        <w:spacing w:line="500" w:lineRule="exact"/>
        <w:ind w:firstLineChars="200" w:firstLine="600"/>
        <w:rPr>
          <w:rFonts w:ascii="宋体" w:hAnsi="宋体"/>
          <w:sz w:val="30"/>
          <w:szCs w:val="30"/>
        </w:rPr>
      </w:pPr>
    </w:p>
    <w:p w:rsidR="000F5728" w:rsidRPr="00813D79" w:rsidRDefault="000F5728" w:rsidP="00612665">
      <w:pPr>
        <w:spacing w:line="500" w:lineRule="exact"/>
        <w:ind w:firstLineChars="200" w:firstLine="600"/>
        <w:rPr>
          <w:rFonts w:ascii="宋体" w:hAnsi="宋体"/>
        </w:rPr>
      </w:pPr>
      <w:r w:rsidRPr="00813D79">
        <w:rPr>
          <w:rFonts w:ascii="宋体" w:hAnsi="宋体" w:hint="eastAsia"/>
          <w:sz w:val="30"/>
          <w:szCs w:val="30"/>
        </w:rPr>
        <w:t>一、评审对象</w:t>
      </w:r>
    </w:p>
    <w:p w:rsidR="000F5728" w:rsidRPr="00813D79" w:rsidRDefault="004D622A" w:rsidP="00F645E8">
      <w:pPr>
        <w:spacing w:line="500" w:lineRule="exact"/>
        <w:ind w:firstLineChars="200" w:firstLine="600"/>
        <w:rPr>
          <w:rFonts w:ascii="宋体" w:hAnsi="宋体"/>
          <w:sz w:val="30"/>
          <w:szCs w:val="30"/>
        </w:rPr>
      </w:pPr>
      <w:r w:rsidRPr="00813D79">
        <w:rPr>
          <w:rFonts w:ascii="宋体" w:hAnsi="宋体" w:hint="eastAsia"/>
          <w:sz w:val="30"/>
          <w:szCs w:val="30"/>
        </w:rPr>
        <w:t>研究生国家奖学金的奖励对象为取得正式学籍、已注册的全日制研究生，参评的主体为二年级及以上研究生，科研潜力突出的一年级新生也可以申请参评，不包括在职生、港澳台研究生和外国来华留学研究生。每位研究生在规定学制年限内均有资格申请，且可多次获得研究生国家奖学金，但获奖成果不可重复申报使用。</w:t>
      </w:r>
    </w:p>
    <w:p w:rsidR="000F5728" w:rsidRPr="00813D79" w:rsidRDefault="000F5728" w:rsidP="00FD57D7">
      <w:pPr>
        <w:spacing w:line="500" w:lineRule="exact"/>
        <w:ind w:firstLineChars="200" w:firstLine="600"/>
        <w:rPr>
          <w:rFonts w:ascii="宋体" w:hAnsi="宋体"/>
        </w:rPr>
      </w:pPr>
      <w:r w:rsidRPr="00813D79">
        <w:rPr>
          <w:rFonts w:ascii="宋体" w:hAnsi="宋体" w:hint="eastAsia"/>
          <w:sz w:val="30"/>
          <w:szCs w:val="30"/>
        </w:rPr>
        <w:t>硕博连读研究生在注册为博士研究生之前，</w:t>
      </w:r>
      <w:r w:rsidRPr="00813D79">
        <w:rPr>
          <w:rFonts w:ascii="宋体" w:hAnsi="宋体" w:cs="Arial" w:hint="eastAsia"/>
          <w:sz w:val="30"/>
          <w:szCs w:val="30"/>
          <w:shd w:val="clear" w:color="auto" w:fill="FFFFFF"/>
        </w:rPr>
        <w:t>或通过攻读博士学位资格考试前，</w:t>
      </w:r>
      <w:r w:rsidRPr="00813D79">
        <w:rPr>
          <w:rFonts w:ascii="宋体" w:hAnsi="宋体" w:hint="eastAsia"/>
          <w:sz w:val="30"/>
          <w:szCs w:val="30"/>
        </w:rPr>
        <w:t>按照硕士研究生身份进行研究生国家奖学金的评定；注册为博士研究生之后，</w:t>
      </w:r>
      <w:r w:rsidRPr="00813D79">
        <w:rPr>
          <w:rFonts w:ascii="宋体" w:hAnsi="宋体" w:cs="Arial" w:hint="eastAsia"/>
          <w:sz w:val="30"/>
          <w:szCs w:val="30"/>
          <w:shd w:val="clear" w:color="auto" w:fill="FFFFFF"/>
        </w:rPr>
        <w:t>或已经通过攻读博士学位资格考试后，</w:t>
      </w:r>
      <w:r w:rsidRPr="00813D79">
        <w:rPr>
          <w:rFonts w:ascii="宋体" w:hAnsi="宋体" w:hint="eastAsia"/>
          <w:sz w:val="30"/>
          <w:szCs w:val="30"/>
        </w:rPr>
        <w:t>按照博士研究生身份进行研究生国家奖学金的评定。</w:t>
      </w:r>
    </w:p>
    <w:p w:rsidR="000F5728" w:rsidRPr="00813D79" w:rsidRDefault="000F5728" w:rsidP="00FD57D7">
      <w:pPr>
        <w:spacing w:line="540" w:lineRule="exact"/>
        <w:ind w:firstLineChars="200" w:firstLine="600"/>
        <w:rPr>
          <w:rFonts w:ascii="宋体" w:hAnsi="宋体"/>
          <w:sz w:val="30"/>
          <w:szCs w:val="30"/>
        </w:rPr>
      </w:pPr>
      <w:r w:rsidRPr="00813D79">
        <w:rPr>
          <w:rFonts w:ascii="宋体" w:hAnsi="宋体" w:hint="eastAsia"/>
          <w:sz w:val="30"/>
          <w:szCs w:val="30"/>
        </w:rPr>
        <w:t>除了公派出国及优秀博士培养计划的研究生外，</w:t>
      </w:r>
      <w:r w:rsidR="004D622A" w:rsidRPr="00813D79">
        <w:rPr>
          <w:rFonts w:ascii="宋体" w:hAnsi="宋体" w:hint="eastAsia"/>
          <w:sz w:val="30"/>
          <w:szCs w:val="30"/>
        </w:rPr>
        <w:t>实际在校时间超过规定学制年限的研究生均不能参评研究生国家奖学金。</w:t>
      </w:r>
    </w:p>
    <w:p w:rsidR="003166FB" w:rsidRPr="00813D79" w:rsidRDefault="003166FB" w:rsidP="003166FB">
      <w:pPr>
        <w:spacing w:line="540" w:lineRule="exact"/>
        <w:ind w:firstLineChars="200" w:firstLine="420"/>
        <w:rPr>
          <w:rFonts w:ascii="宋体" w:hAnsi="宋体"/>
        </w:rPr>
      </w:pPr>
      <w:r w:rsidRPr="00813D79">
        <w:rPr>
          <w:rFonts w:ascii="宋体" w:hAnsi="宋体" w:hint="eastAsia"/>
        </w:rPr>
        <w:t xml:space="preserve"> </w:t>
      </w:r>
      <w:r w:rsidRPr="00813D79">
        <w:rPr>
          <w:rFonts w:ascii="宋体" w:hAnsi="宋体" w:hint="eastAsia"/>
          <w:sz w:val="30"/>
          <w:szCs w:val="30"/>
        </w:rPr>
        <w:t>研究生国家奖学金与除嘉庚、本栋、亚南三大奖之外的校级奖学金在同一学年内不能同时兼得。</w:t>
      </w:r>
    </w:p>
    <w:p w:rsidR="000F5728" w:rsidRPr="00813D79" w:rsidRDefault="000F5728" w:rsidP="00FD57D7">
      <w:pPr>
        <w:spacing w:line="500" w:lineRule="exact"/>
        <w:ind w:firstLineChars="200" w:firstLine="600"/>
        <w:rPr>
          <w:rFonts w:ascii="宋体" w:hAnsi="宋体"/>
        </w:rPr>
      </w:pPr>
      <w:r w:rsidRPr="00813D79">
        <w:rPr>
          <w:rFonts w:ascii="宋体" w:hAnsi="宋体" w:hint="eastAsia"/>
          <w:sz w:val="30"/>
          <w:szCs w:val="30"/>
        </w:rPr>
        <w:t>二、奖学金标准</w:t>
      </w:r>
    </w:p>
    <w:p w:rsidR="000F5728" w:rsidRPr="00813D79" w:rsidRDefault="000F5728" w:rsidP="00FD57D7">
      <w:pPr>
        <w:spacing w:line="500" w:lineRule="exact"/>
        <w:ind w:firstLineChars="200" w:firstLine="600"/>
        <w:rPr>
          <w:rFonts w:ascii="宋体" w:hAnsi="宋体"/>
        </w:rPr>
      </w:pPr>
      <w:r w:rsidRPr="00813D79">
        <w:rPr>
          <w:rFonts w:ascii="宋体" w:hAnsi="宋体" w:hint="eastAsia"/>
          <w:sz w:val="30"/>
          <w:szCs w:val="30"/>
        </w:rPr>
        <w:t>博士研究生国家奖学金奖励标准为每生每年3万元；硕士研究生国家奖学金奖励标准为每生每年2万元。</w:t>
      </w:r>
    </w:p>
    <w:p w:rsidR="000F5728" w:rsidRPr="00813D79" w:rsidRDefault="00BE4D4F" w:rsidP="00FD57D7">
      <w:pPr>
        <w:spacing w:line="500" w:lineRule="exact"/>
        <w:ind w:firstLineChars="200" w:firstLine="600"/>
        <w:rPr>
          <w:rFonts w:ascii="宋体" w:hAnsi="宋体"/>
        </w:rPr>
      </w:pPr>
      <w:r w:rsidRPr="00813D79">
        <w:rPr>
          <w:rFonts w:ascii="宋体" w:hAnsi="宋体" w:hint="eastAsia"/>
          <w:sz w:val="30"/>
          <w:szCs w:val="30"/>
        </w:rPr>
        <w:t>三</w:t>
      </w:r>
      <w:r w:rsidR="000F5728" w:rsidRPr="00813D79">
        <w:rPr>
          <w:rFonts w:ascii="宋体" w:hAnsi="宋体" w:hint="eastAsia"/>
          <w:sz w:val="30"/>
          <w:szCs w:val="30"/>
        </w:rPr>
        <w:t>、奖学金申请的基本条件</w:t>
      </w:r>
    </w:p>
    <w:p w:rsidR="000F5728" w:rsidRPr="00813D79" w:rsidRDefault="000F5728" w:rsidP="00E734FF">
      <w:pPr>
        <w:spacing w:line="540" w:lineRule="exact"/>
        <w:ind w:firstLineChars="150" w:firstLine="450"/>
        <w:rPr>
          <w:rFonts w:ascii="宋体" w:hAnsi="宋体"/>
        </w:rPr>
      </w:pPr>
      <w:r w:rsidRPr="00813D79">
        <w:rPr>
          <w:rFonts w:ascii="宋体" w:hAnsi="宋体" w:hint="eastAsia"/>
          <w:sz w:val="30"/>
          <w:szCs w:val="30"/>
        </w:rPr>
        <w:t>（一）热爱社会主义祖国，拥护中国共产党的领导；</w:t>
      </w:r>
    </w:p>
    <w:p w:rsidR="000F5728" w:rsidRPr="00813D79" w:rsidRDefault="000F5728" w:rsidP="00E734FF">
      <w:pPr>
        <w:spacing w:line="540" w:lineRule="exact"/>
        <w:ind w:firstLineChars="150" w:firstLine="450"/>
        <w:rPr>
          <w:rFonts w:ascii="宋体" w:hAnsi="宋体"/>
        </w:rPr>
      </w:pPr>
      <w:r w:rsidRPr="00813D79">
        <w:rPr>
          <w:rFonts w:ascii="宋体" w:hAnsi="宋体" w:hint="eastAsia"/>
          <w:sz w:val="30"/>
          <w:szCs w:val="30"/>
        </w:rPr>
        <w:t>（二）遵守国家法律法规，遵守校规校纪</w:t>
      </w:r>
      <w:r w:rsidR="00BF3DCA" w:rsidRPr="00813D79">
        <w:rPr>
          <w:rFonts w:ascii="宋体" w:hAnsi="宋体" w:hint="eastAsia"/>
          <w:sz w:val="30"/>
          <w:szCs w:val="30"/>
        </w:rPr>
        <w:t>和经济学院研究生管理条例</w:t>
      </w:r>
      <w:r w:rsidRPr="00813D79">
        <w:rPr>
          <w:rFonts w:ascii="宋体" w:hAnsi="宋体" w:hint="eastAsia"/>
          <w:sz w:val="30"/>
          <w:szCs w:val="30"/>
        </w:rPr>
        <w:t>，在校期间无违法违纪行为；</w:t>
      </w:r>
    </w:p>
    <w:p w:rsidR="000F5728" w:rsidRPr="00813D79" w:rsidRDefault="000F5728" w:rsidP="00E734FF">
      <w:pPr>
        <w:spacing w:line="540" w:lineRule="exact"/>
        <w:ind w:firstLineChars="150" w:firstLine="450"/>
        <w:rPr>
          <w:rFonts w:ascii="宋体" w:hAnsi="宋体"/>
        </w:rPr>
      </w:pPr>
      <w:r w:rsidRPr="00813D79">
        <w:rPr>
          <w:rFonts w:ascii="宋体" w:hAnsi="宋体" w:hint="eastAsia"/>
          <w:sz w:val="30"/>
          <w:szCs w:val="30"/>
        </w:rPr>
        <w:t>（三）诚实守信，道德品质优良，无学术不端行为；</w:t>
      </w:r>
    </w:p>
    <w:p w:rsidR="000F5728" w:rsidRPr="00813D79" w:rsidRDefault="000F5728" w:rsidP="00E734FF">
      <w:pPr>
        <w:spacing w:line="540" w:lineRule="exact"/>
        <w:ind w:firstLineChars="150" w:firstLine="450"/>
        <w:rPr>
          <w:rFonts w:ascii="宋体" w:hAnsi="宋体"/>
        </w:rPr>
      </w:pPr>
      <w:r w:rsidRPr="00813D79">
        <w:rPr>
          <w:rFonts w:ascii="宋体" w:hAnsi="宋体" w:hint="eastAsia"/>
          <w:sz w:val="30"/>
          <w:szCs w:val="30"/>
        </w:rPr>
        <w:lastRenderedPageBreak/>
        <w:t>（四）学习成绩优异，无不及格课程</w:t>
      </w:r>
      <w:r w:rsidR="005120C5" w:rsidRPr="00813D79">
        <w:rPr>
          <w:rFonts w:ascii="宋体" w:hAnsi="宋体" w:hint="eastAsia"/>
          <w:sz w:val="30"/>
          <w:szCs w:val="30"/>
        </w:rPr>
        <w:t>（重修及格的亦可参与评奖）</w:t>
      </w:r>
      <w:r w:rsidRPr="00813D79">
        <w:rPr>
          <w:rFonts w:ascii="宋体" w:hAnsi="宋体" w:hint="eastAsia"/>
          <w:sz w:val="30"/>
          <w:szCs w:val="30"/>
        </w:rPr>
        <w:t>；</w:t>
      </w:r>
    </w:p>
    <w:p w:rsidR="000F5728" w:rsidRPr="00813D79" w:rsidRDefault="000F5728" w:rsidP="008532F6">
      <w:pPr>
        <w:spacing w:line="500" w:lineRule="exact"/>
        <w:ind w:firstLineChars="150" w:firstLine="450"/>
        <w:rPr>
          <w:rFonts w:ascii="宋体" w:hAnsi="宋体"/>
          <w:sz w:val="30"/>
          <w:szCs w:val="30"/>
        </w:rPr>
      </w:pPr>
      <w:r w:rsidRPr="00813D79">
        <w:rPr>
          <w:rFonts w:ascii="宋体" w:hAnsi="宋体" w:hint="eastAsia"/>
          <w:sz w:val="30"/>
          <w:szCs w:val="30"/>
        </w:rPr>
        <w:t>（五）科研能力显著，有突出的科研成果</w:t>
      </w:r>
      <w:r w:rsidR="006F211E" w:rsidRPr="00813D79">
        <w:rPr>
          <w:rFonts w:ascii="宋体" w:hAnsi="宋体" w:hint="eastAsia"/>
          <w:sz w:val="30"/>
          <w:szCs w:val="30"/>
        </w:rPr>
        <w:t>的</w:t>
      </w:r>
      <w:r w:rsidRPr="00813D79">
        <w:rPr>
          <w:rFonts w:ascii="宋体" w:hAnsi="宋体" w:hint="eastAsia"/>
          <w:sz w:val="30"/>
          <w:szCs w:val="30"/>
        </w:rPr>
        <w:t>，科研成果必须在学制培养期限内取得，必须以厦门大学为第一署名单位。</w:t>
      </w:r>
    </w:p>
    <w:p w:rsidR="008532F6" w:rsidRPr="00562FE0" w:rsidRDefault="008532F6" w:rsidP="008532F6">
      <w:pPr>
        <w:spacing w:line="500" w:lineRule="exact"/>
        <w:ind w:firstLineChars="200" w:firstLine="600"/>
        <w:rPr>
          <w:rFonts w:ascii="宋体" w:hAnsi="宋体"/>
          <w:sz w:val="30"/>
          <w:szCs w:val="30"/>
        </w:rPr>
      </w:pPr>
      <w:r w:rsidRPr="00D04619">
        <w:rPr>
          <w:rFonts w:ascii="宋体" w:hAnsi="宋体" w:hint="eastAsia"/>
          <w:sz w:val="30"/>
          <w:szCs w:val="30"/>
        </w:rPr>
        <w:t>四、评奖标准</w:t>
      </w:r>
    </w:p>
    <w:p w:rsidR="008532F6" w:rsidRPr="00562FE0" w:rsidRDefault="008532F6" w:rsidP="008532F6">
      <w:pPr>
        <w:spacing w:line="500" w:lineRule="exact"/>
        <w:ind w:firstLineChars="150" w:firstLine="450"/>
        <w:rPr>
          <w:rFonts w:ascii="宋体" w:hAnsi="宋体"/>
          <w:sz w:val="30"/>
          <w:szCs w:val="30"/>
        </w:rPr>
      </w:pPr>
      <w:r w:rsidRPr="00562FE0">
        <w:rPr>
          <w:rFonts w:ascii="宋体" w:hAnsi="宋体" w:hint="eastAsia"/>
          <w:sz w:val="30"/>
          <w:szCs w:val="30"/>
        </w:rPr>
        <w:t>（一）</w:t>
      </w:r>
      <w:r w:rsidR="00000542" w:rsidRPr="00562FE0">
        <w:rPr>
          <w:rFonts w:ascii="宋体" w:hAnsi="宋体"/>
          <w:sz w:val="30"/>
          <w:szCs w:val="30"/>
        </w:rPr>
        <w:t>硕士生</w:t>
      </w:r>
      <w:r w:rsidR="00000542" w:rsidRPr="00562FE0">
        <w:rPr>
          <w:rFonts w:ascii="宋体" w:hAnsi="宋体" w:hint="eastAsia"/>
          <w:sz w:val="30"/>
          <w:szCs w:val="30"/>
        </w:rPr>
        <w:t>按</w:t>
      </w:r>
      <w:r w:rsidR="00FD3B7F" w:rsidRPr="00562FE0">
        <w:rPr>
          <w:rFonts w:ascii="宋体" w:hAnsi="宋体" w:hint="eastAsia"/>
          <w:sz w:val="30"/>
          <w:szCs w:val="30"/>
        </w:rPr>
        <w:t>两院开设的专业课</w:t>
      </w:r>
      <w:r w:rsidR="00000542" w:rsidRPr="00562FE0">
        <w:rPr>
          <w:rFonts w:ascii="宋体" w:hAnsi="宋体"/>
          <w:sz w:val="30"/>
          <w:szCs w:val="30"/>
        </w:rPr>
        <w:t>程</w:t>
      </w:r>
      <w:r w:rsidR="00FD3B7F" w:rsidRPr="00562FE0">
        <w:rPr>
          <w:rFonts w:ascii="宋体" w:hAnsi="宋体" w:hint="eastAsia"/>
          <w:sz w:val="30"/>
          <w:szCs w:val="30"/>
        </w:rPr>
        <w:t>（不含小学期课程）</w:t>
      </w:r>
      <w:r w:rsidR="00000542" w:rsidRPr="00562FE0">
        <w:rPr>
          <w:rFonts w:ascii="宋体" w:hAnsi="宋体"/>
          <w:sz w:val="30"/>
          <w:szCs w:val="30"/>
        </w:rPr>
        <w:t>成绩标准分和科研成果分加总</w:t>
      </w:r>
      <w:r w:rsidR="00000542" w:rsidRPr="00562FE0">
        <w:rPr>
          <w:rFonts w:ascii="宋体" w:hAnsi="宋体" w:hint="eastAsia"/>
          <w:sz w:val="30"/>
          <w:szCs w:val="30"/>
        </w:rPr>
        <w:t>后进行</w:t>
      </w:r>
      <w:r w:rsidR="00000542" w:rsidRPr="00562FE0">
        <w:rPr>
          <w:rFonts w:ascii="宋体" w:hAnsi="宋体"/>
          <w:sz w:val="30"/>
          <w:szCs w:val="30"/>
        </w:rPr>
        <w:t>排名，博士生</w:t>
      </w:r>
      <w:r w:rsidR="00000542" w:rsidRPr="00562FE0">
        <w:rPr>
          <w:rFonts w:ascii="宋体" w:hAnsi="宋体" w:hint="eastAsia"/>
          <w:sz w:val="30"/>
          <w:szCs w:val="30"/>
        </w:rPr>
        <w:t>按</w:t>
      </w:r>
      <w:r w:rsidR="00000542" w:rsidRPr="00562FE0">
        <w:rPr>
          <w:rFonts w:ascii="宋体" w:hAnsi="宋体"/>
          <w:sz w:val="30"/>
          <w:szCs w:val="30"/>
        </w:rPr>
        <w:t>科研成果分排名</w:t>
      </w:r>
      <w:r w:rsidR="00000542" w:rsidRPr="00562FE0">
        <w:rPr>
          <w:rFonts w:ascii="宋体" w:hAnsi="宋体" w:hint="eastAsia"/>
          <w:sz w:val="30"/>
          <w:szCs w:val="30"/>
        </w:rPr>
        <w:t>；</w:t>
      </w:r>
    </w:p>
    <w:p w:rsidR="008532F6" w:rsidRPr="00562FE0" w:rsidRDefault="008532F6" w:rsidP="008532F6">
      <w:pPr>
        <w:spacing w:line="500" w:lineRule="exact"/>
        <w:ind w:firstLineChars="150" w:firstLine="450"/>
        <w:rPr>
          <w:rFonts w:ascii="宋体" w:hAnsi="宋体"/>
          <w:sz w:val="30"/>
          <w:szCs w:val="30"/>
        </w:rPr>
      </w:pPr>
      <w:r w:rsidRPr="00562FE0">
        <w:rPr>
          <w:rFonts w:ascii="宋体" w:hAnsi="宋体" w:hint="eastAsia"/>
          <w:sz w:val="30"/>
          <w:szCs w:val="30"/>
        </w:rPr>
        <w:t>（二）</w:t>
      </w:r>
      <w:r w:rsidR="00000542" w:rsidRPr="00562FE0">
        <w:rPr>
          <w:rFonts w:ascii="宋体" w:hAnsi="宋体" w:hint="eastAsia"/>
          <w:sz w:val="30"/>
          <w:szCs w:val="30"/>
        </w:rPr>
        <w:t>硕士生参评者</w:t>
      </w:r>
      <w:r w:rsidR="00FD3B7F" w:rsidRPr="00562FE0">
        <w:rPr>
          <w:rFonts w:ascii="宋体" w:hAnsi="宋体" w:hint="eastAsia"/>
          <w:sz w:val="30"/>
          <w:szCs w:val="30"/>
        </w:rPr>
        <w:t>专业</w:t>
      </w:r>
      <w:r w:rsidR="00000542" w:rsidRPr="00562FE0">
        <w:rPr>
          <w:rFonts w:ascii="宋体" w:hAnsi="宋体" w:hint="eastAsia"/>
          <w:sz w:val="30"/>
          <w:szCs w:val="30"/>
        </w:rPr>
        <w:t>课程</w:t>
      </w:r>
      <w:r w:rsidR="00FD3B7F" w:rsidRPr="00562FE0">
        <w:rPr>
          <w:rFonts w:ascii="宋体" w:hAnsi="宋体" w:hint="eastAsia"/>
          <w:sz w:val="30"/>
          <w:szCs w:val="30"/>
        </w:rPr>
        <w:t>（不含小学期课程）</w:t>
      </w:r>
      <w:r w:rsidR="00000542" w:rsidRPr="00562FE0">
        <w:rPr>
          <w:rFonts w:ascii="宋体" w:hAnsi="宋体" w:hint="eastAsia"/>
          <w:sz w:val="30"/>
          <w:szCs w:val="30"/>
        </w:rPr>
        <w:t>成绩标准分必须达到50%以上（含50%）；</w:t>
      </w:r>
    </w:p>
    <w:p w:rsidR="00000542" w:rsidRPr="00562FE0" w:rsidRDefault="00000542" w:rsidP="008532F6">
      <w:pPr>
        <w:spacing w:line="500" w:lineRule="exact"/>
        <w:ind w:firstLineChars="150" w:firstLine="450"/>
        <w:rPr>
          <w:rFonts w:ascii="宋体" w:hAnsi="宋体"/>
          <w:sz w:val="30"/>
          <w:szCs w:val="30"/>
        </w:rPr>
      </w:pPr>
      <w:r w:rsidRPr="00562FE0">
        <w:rPr>
          <w:rFonts w:ascii="宋体" w:hAnsi="宋体" w:hint="eastAsia"/>
          <w:sz w:val="30"/>
          <w:szCs w:val="30"/>
        </w:rPr>
        <w:t>（三）硕士生重复参评者</w:t>
      </w:r>
      <w:r w:rsidR="00FD3B7F" w:rsidRPr="00562FE0">
        <w:rPr>
          <w:rFonts w:ascii="宋体" w:hAnsi="宋体" w:hint="eastAsia"/>
          <w:sz w:val="30"/>
          <w:szCs w:val="30"/>
        </w:rPr>
        <w:t>专业</w:t>
      </w:r>
      <w:bookmarkStart w:id="0" w:name="_GoBack"/>
      <w:bookmarkEnd w:id="0"/>
      <w:r w:rsidR="00FD3B7F" w:rsidRPr="00562FE0">
        <w:rPr>
          <w:rFonts w:ascii="宋体" w:hAnsi="宋体" w:hint="eastAsia"/>
          <w:sz w:val="30"/>
          <w:szCs w:val="30"/>
        </w:rPr>
        <w:t>课程（不含小学期课程）</w:t>
      </w:r>
      <w:r w:rsidRPr="00562FE0">
        <w:rPr>
          <w:rFonts w:ascii="宋体" w:hAnsi="宋体" w:hint="eastAsia"/>
          <w:sz w:val="30"/>
          <w:szCs w:val="30"/>
        </w:rPr>
        <w:t>成绩标准分必须达到50%以上（含50%），且必须有科研成果</w:t>
      </w:r>
      <w:r w:rsidR="004B4934" w:rsidRPr="00562FE0">
        <w:rPr>
          <w:rFonts w:ascii="宋体" w:hAnsi="宋体" w:hint="eastAsia"/>
          <w:sz w:val="30"/>
          <w:szCs w:val="30"/>
        </w:rPr>
        <w:t>分</w:t>
      </w:r>
      <w:r w:rsidRPr="00562FE0">
        <w:rPr>
          <w:rFonts w:ascii="宋体" w:hAnsi="宋体" w:hint="eastAsia"/>
          <w:sz w:val="30"/>
          <w:szCs w:val="30"/>
        </w:rPr>
        <w:t>。</w:t>
      </w:r>
    </w:p>
    <w:p w:rsidR="00992CB5" w:rsidRPr="00562FE0" w:rsidRDefault="00992CB5" w:rsidP="00992CB5">
      <w:pPr>
        <w:spacing w:line="500" w:lineRule="exact"/>
        <w:ind w:firstLineChars="150" w:firstLine="450"/>
        <w:rPr>
          <w:rFonts w:ascii="宋体" w:hAnsi="宋体"/>
          <w:sz w:val="30"/>
          <w:szCs w:val="30"/>
        </w:rPr>
      </w:pPr>
      <w:r w:rsidRPr="00562FE0">
        <w:rPr>
          <w:rFonts w:ascii="宋体" w:hAnsi="宋体" w:hint="eastAsia"/>
          <w:sz w:val="30"/>
          <w:szCs w:val="30"/>
        </w:rPr>
        <w:t>（四）研究生科研成果中符合投稿规定且不违反学术道德的中英文稿</w:t>
      </w:r>
      <w:r w:rsidRPr="00562FE0">
        <w:rPr>
          <w:rFonts w:ascii="宋体" w:hAnsi="宋体"/>
          <w:sz w:val="30"/>
          <w:szCs w:val="30"/>
        </w:rPr>
        <w:t>“</w:t>
      </w:r>
      <w:r w:rsidRPr="00562FE0">
        <w:rPr>
          <w:rFonts w:ascii="宋体" w:hAnsi="宋体" w:hint="eastAsia"/>
          <w:sz w:val="30"/>
          <w:szCs w:val="30"/>
        </w:rPr>
        <w:t>一稿多发</w:t>
      </w:r>
      <w:r w:rsidRPr="00562FE0">
        <w:rPr>
          <w:rFonts w:ascii="宋体" w:hAnsi="宋体"/>
          <w:sz w:val="30"/>
          <w:szCs w:val="30"/>
        </w:rPr>
        <w:t>”</w:t>
      </w:r>
      <w:r w:rsidRPr="00562FE0">
        <w:rPr>
          <w:rFonts w:ascii="宋体" w:hAnsi="宋体" w:hint="eastAsia"/>
          <w:sz w:val="30"/>
          <w:szCs w:val="30"/>
        </w:rPr>
        <w:t>情况，仅按一次科研成果加分。</w:t>
      </w:r>
    </w:p>
    <w:p w:rsidR="00FC0D8E" w:rsidRPr="00813D79" w:rsidRDefault="008532F6" w:rsidP="008532F6">
      <w:pPr>
        <w:spacing w:line="500" w:lineRule="exact"/>
        <w:ind w:firstLineChars="200" w:firstLine="600"/>
        <w:rPr>
          <w:rFonts w:ascii="宋体" w:hAnsi="宋体"/>
          <w:sz w:val="30"/>
          <w:szCs w:val="30"/>
        </w:rPr>
      </w:pPr>
      <w:r w:rsidRPr="00813D79">
        <w:rPr>
          <w:rFonts w:ascii="宋体" w:hAnsi="宋体" w:hint="eastAsia"/>
          <w:sz w:val="30"/>
          <w:szCs w:val="30"/>
        </w:rPr>
        <w:t>五、</w:t>
      </w:r>
      <w:r w:rsidR="00FC0D8E" w:rsidRPr="00813D79">
        <w:rPr>
          <w:rFonts w:ascii="宋体" w:hAnsi="宋体" w:hint="eastAsia"/>
          <w:sz w:val="30"/>
          <w:szCs w:val="30"/>
        </w:rPr>
        <w:t>科研成果计分规则</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申请评奖的所有科研成果，第一署名单位都必须是厦门大学。仅计算学术论文的科研成果分，论文摘要、会议综述、活动报道、论著、译著、专利、有EI索引的会议论文和会议的proceeding、无正式CN号论文等不计入科研成果进行申报。中文论文必须正式发表后才可作为科研成果进行申报；英文论文必须有DOI号并且已在网上发表才可作为科研成果进行申报。只有在研究生院学生系统中审核通过的科研成果才能申报</w:t>
      </w:r>
      <w:r w:rsidR="00E734FF" w:rsidRPr="00813D79">
        <w:rPr>
          <w:rFonts w:ascii="宋体" w:hAnsi="宋体" w:hint="eastAsia"/>
          <w:sz w:val="30"/>
          <w:szCs w:val="30"/>
        </w:rPr>
        <w:t>国家</w:t>
      </w:r>
      <w:r w:rsidRPr="00813D79">
        <w:rPr>
          <w:rFonts w:ascii="宋体" w:hAnsi="宋体" w:hint="eastAsia"/>
          <w:sz w:val="30"/>
          <w:szCs w:val="30"/>
        </w:rPr>
        <w:t>奖学金。</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科研论文计分方法</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①论文分数=</w:t>
      </w:r>
      <w:r w:rsidRPr="00813D79">
        <w:rPr>
          <w:rFonts w:ascii="宋体" w:hAnsi="宋体" w:hint="eastAsia"/>
          <w:sz w:val="30"/>
          <w:szCs w:val="30"/>
        </w:rPr>
        <w:object w:dxaOrig="2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0.25pt" o:ole="">
            <v:imagedata r:id="rId6" o:title=""/>
          </v:shape>
          <o:OLEObject Type="Embed" ProgID="Equation.3" ShapeID="_x0000_i1025" DrawAspect="Content" ObjectID="_1567010656" r:id="rId7"/>
        </w:object>
      </w:r>
      <w:r w:rsidRPr="00813D79">
        <w:rPr>
          <w:rFonts w:ascii="宋体" w:hAnsi="宋体" w:hint="eastAsia"/>
          <w:sz w:val="30"/>
          <w:szCs w:val="30"/>
        </w:rPr>
        <w:t>，包括评奖期间发表的各类科研论文。</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lastRenderedPageBreak/>
        <w:t>②权重因子计算方法</w:t>
      </w:r>
    </w:p>
    <w:p w:rsidR="007E76E8" w:rsidRPr="00813D79" w:rsidRDefault="007E76E8" w:rsidP="00992CB5">
      <w:pPr>
        <w:spacing w:line="220" w:lineRule="atLeast"/>
        <w:ind w:firstLineChars="150" w:firstLine="450"/>
        <w:rPr>
          <w:rFonts w:ascii="宋体" w:hAnsi="宋体"/>
          <w:sz w:val="30"/>
          <w:szCs w:val="30"/>
        </w:rPr>
      </w:pPr>
      <w:r w:rsidRPr="00813D79">
        <w:rPr>
          <w:rFonts w:ascii="宋体" w:hAnsi="宋体" w:hint="eastAsia"/>
          <w:sz w:val="30"/>
          <w:szCs w:val="30"/>
        </w:rPr>
        <w:t>人文、社科类论文权重因子的数值为：国际期刊一类每篇150分，国际期刊二类、《中国社会科学》、《经济研究》、《管理世界》（短论除外）每篇100分，其余SSCI和最优刊物每篇80分、一类核心每篇60分、二类核心每篇20分</w:t>
      </w:r>
      <w:r w:rsidR="00992CB5" w:rsidRPr="00813D79">
        <w:rPr>
          <w:rFonts w:ascii="宋体" w:hAnsi="宋体" w:hint="eastAsia"/>
          <w:sz w:val="30"/>
          <w:szCs w:val="30"/>
        </w:rPr>
        <w:t>(</w:t>
      </w:r>
      <w:r w:rsidR="00C41107" w:rsidRPr="00813D79">
        <w:rPr>
          <w:rFonts w:ascii="宋体" w:hAnsi="宋体" w:hint="eastAsia"/>
          <w:sz w:val="30"/>
          <w:szCs w:val="30"/>
        </w:rPr>
        <w:t>累积</w:t>
      </w:r>
      <w:r w:rsidR="00992CB5" w:rsidRPr="00813D79">
        <w:rPr>
          <w:rFonts w:ascii="宋体" w:hAnsi="宋体" w:hint="eastAsia"/>
          <w:sz w:val="30"/>
          <w:szCs w:val="30"/>
        </w:rPr>
        <w:t>加分</w:t>
      </w:r>
      <w:r w:rsidR="00C41107" w:rsidRPr="00813D79">
        <w:rPr>
          <w:rFonts w:ascii="宋体" w:hAnsi="宋体" w:hint="eastAsia"/>
          <w:sz w:val="30"/>
          <w:szCs w:val="30"/>
        </w:rPr>
        <w:t>封顶</w:t>
      </w:r>
      <w:r w:rsidR="00992CB5" w:rsidRPr="00813D79">
        <w:rPr>
          <w:rFonts w:ascii="宋体" w:hAnsi="宋体" w:hint="eastAsia"/>
          <w:sz w:val="30"/>
          <w:szCs w:val="30"/>
        </w:rPr>
        <w:t>30分)</w:t>
      </w:r>
      <w:r w:rsidRPr="00813D79">
        <w:rPr>
          <w:rFonts w:ascii="宋体" w:hAnsi="宋体" w:hint="eastAsia"/>
          <w:sz w:val="30"/>
          <w:szCs w:val="30"/>
        </w:rPr>
        <w:t>，不在国际期刊一类、二类目录中的SCI期刊每篇20分。</w:t>
      </w:r>
      <w:r w:rsidR="00992CB5" w:rsidRPr="00813D79">
        <w:rPr>
          <w:rFonts w:ascii="宋体" w:hAnsi="宋体" w:hint="eastAsia"/>
          <w:sz w:val="30"/>
          <w:szCs w:val="30"/>
        </w:rPr>
        <w:t>论文入选中国经济学年会、留美经济学家年会、青年经济学者论坛并出席以上会议者按照二类核心论文加分标准加分。</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国际期刊一类、二类目录以经济学科上报人事处的认定为准，最优刊物、一类核心、二类核心以人事处公布的期刊目录为准。</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理工类论文权重因子的数值为：依据“JCR期刊影响因子和分区情况”表（参见研究生院网站），在1区刊物发表论文的，每篇权重因子为160；在2区发表的，每篇为80；在3区发表的，每篇为40；在4区发表的，每篇为20。</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在交叉学科或跨学科学术刊物上发表的论文，可以按照所发表学术刊物的学科属性计分。若交叉学科刊物同时具有文理两种计分方式且出现差异的，按高分计算。</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未被上述刊物收录的一般论文权重因子为0，不得填入成果申报栏，但可填入备注栏或另加页。</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③合作因子数值计算方法为：</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按论文署名分摊记分，凡是与经济学院、王亚南经济研究院老师合作发表学术论文，无论是否属于导师组成员，老师署名第一作者，署名第二作者的学生均可视为第一作者。计分时应将原</w:t>
      </w:r>
      <w:r w:rsidRPr="00813D79">
        <w:rPr>
          <w:rFonts w:ascii="宋体" w:hAnsi="宋体" w:hint="eastAsia"/>
          <w:sz w:val="30"/>
          <w:szCs w:val="30"/>
        </w:rPr>
        <w:lastRenderedPageBreak/>
        <w:t>为第一作者的老师以第二作者计入作者总人数。英文论文并且按作者姓氏的英文字母为序署名的，论文的权重因子在所有作者中平均分摊。所有中文论文和英文论文但不按作者姓氏的英文字母为序署名的，按以下方法计算合作因子：</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二人合作的，按6：4分摊；</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三人以上合作的，按以下公式进行计算：</w:t>
      </w:r>
    </w:p>
    <w:p w:rsidR="00904DF8" w:rsidRPr="00813D79" w:rsidRDefault="00904DF8" w:rsidP="00904DF8">
      <w:pPr>
        <w:spacing w:line="560" w:lineRule="exact"/>
        <w:ind w:firstLineChars="200" w:firstLine="640"/>
        <w:rPr>
          <w:rFonts w:ascii="仿宋_GB2312" w:eastAsia="仿宋_GB2312" w:hAnsi="宋体"/>
          <w:sz w:val="32"/>
          <w:szCs w:val="32"/>
        </w:rPr>
      </w:pPr>
      <w:r w:rsidRPr="00813D79">
        <w:rPr>
          <w:rFonts w:ascii="仿宋_GB2312" w:eastAsia="仿宋_GB2312" w:hAnsi="宋体" w:hint="eastAsia"/>
          <w:sz w:val="32"/>
          <w:szCs w:val="32"/>
        </w:rPr>
        <w:t>当i≤N-2时  a</w:t>
      </w:r>
      <w:r w:rsidRPr="00813D79">
        <w:rPr>
          <w:rFonts w:ascii="仿宋_GB2312" w:eastAsia="仿宋_GB2312" w:hAnsi="宋体" w:hint="eastAsia"/>
          <w:sz w:val="32"/>
          <w:szCs w:val="32"/>
          <w:vertAlign w:val="subscript"/>
        </w:rPr>
        <w:t>i</w:t>
      </w:r>
      <w:r w:rsidRPr="00813D79">
        <w:rPr>
          <w:rFonts w:ascii="仿宋_GB2312" w:eastAsia="仿宋_GB2312" w:hAnsi="宋体" w:hint="eastAsia"/>
          <w:sz w:val="32"/>
          <w:szCs w:val="32"/>
        </w:rPr>
        <w:t>=0.5</w:t>
      </w:r>
      <w:r w:rsidRPr="00813D79">
        <w:rPr>
          <w:rFonts w:ascii="仿宋_GB2312" w:eastAsia="仿宋_GB2312" w:hAnsi="宋体" w:hint="eastAsia"/>
          <w:sz w:val="32"/>
          <w:szCs w:val="32"/>
          <w:vertAlign w:val="superscript"/>
        </w:rPr>
        <w:t>i</w:t>
      </w:r>
      <w:r w:rsidRPr="00813D79">
        <w:rPr>
          <w:rFonts w:ascii="仿宋_GB2312" w:eastAsia="仿宋_GB2312" w:hAnsi="宋体" w:hint="eastAsia"/>
          <w:sz w:val="32"/>
          <w:szCs w:val="32"/>
        </w:rPr>
        <w:t>；</w:t>
      </w:r>
    </w:p>
    <w:p w:rsidR="00904DF8" w:rsidRPr="00813D79" w:rsidRDefault="00904DF8" w:rsidP="00904DF8">
      <w:pPr>
        <w:spacing w:line="560" w:lineRule="exact"/>
        <w:ind w:firstLineChars="200" w:firstLine="640"/>
        <w:rPr>
          <w:rFonts w:ascii="仿宋_GB2312" w:eastAsia="仿宋_GB2312" w:hAnsi="宋体"/>
          <w:sz w:val="32"/>
          <w:szCs w:val="32"/>
        </w:rPr>
      </w:pPr>
      <w:r w:rsidRPr="00813D79">
        <w:rPr>
          <w:rFonts w:ascii="仿宋_GB2312" w:eastAsia="仿宋_GB2312" w:hAnsi="宋体" w:hint="eastAsia"/>
          <w:sz w:val="32"/>
          <w:szCs w:val="32"/>
        </w:rPr>
        <w:t>当i=N-1时   a</w:t>
      </w:r>
      <w:r w:rsidRPr="00813D79">
        <w:rPr>
          <w:rFonts w:ascii="仿宋_GB2312" w:eastAsia="仿宋_GB2312" w:hAnsi="宋体" w:hint="eastAsia"/>
          <w:sz w:val="32"/>
          <w:szCs w:val="32"/>
          <w:vertAlign w:val="subscript"/>
        </w:rPr>
        <w:t>i</w:t>
      </w:r>
      <w:r w:rsidRPr="00813D79">
        <w:rPr>
          <w:rFonts w:ascii="仿宋_GB2312" w:eastAsia="仿宋_GB2312" w:hAnsi="宋体" w:hint="eastAsia"/>
          <w:sz w:val="32"/>
          <w:szCs w:val="32"/>
        </w:rPr>
        <w:t>=0.5</w:t>
      </w:r>
      <w:r w:rsidRPr="00813D79">
        <w:rPr>
          <w:rFonts w:ascii="仿宋_GB2312" w:eastAsia="仿宋_GB2312" w:hAnsi="宋体" w:hint="eastAsia"/>
          <w:sz w:val="32"/>
          <w:szCs w:val="32"/>
          <w:vertAlign w:val="superscript"/>
        </w:rPr>
        <w:t>N-3</w:t>
      </w:r>
      <w:r w:rsidRPr="00813D79">
        <w:rPr>
          <w:rFonts w:ascii="仿宋_GB2312" w:eastAsia="仿宋_GB2312" w:hAnsi="宋体" w:hint="eastAsia"/>
          <w:sz w:val="32"/>
          <w:szCs w:val="32"/>
        </w:rPr>
        <w:t>×0.3；</w:t>
      </w:r>
    </w:p>
    <w:p w:rsidR="007E76E8" w:rsidRPr="00813D79" w:rsidRDefault="00904DF8" w:rsidP="00904DF8">
      <w:pPr>
        <w:spacing w:line="540" w:lineRule="exact"/>
        <w:ind w:firstLineChars="200" w:firstLine="640"/>
        <w:rPr>
          <w:rFonts w:ascii="宋体" w:hAnsi="宋体"/>
          <w:sz w:val="30"/>
          <w:szCs w:val="30"/>
        </w:rPr>
      </w:pPr>
      <w:r w:rsidRPr="00813D79">
        <w:rPr>
          <w:rFonts w:ascii="仿宋_GB2312" w:eastAsia="仿宋_GB2312" w:hAnsi="宋体" w:hint="eastAsia"/>
          <w:sz w:val="32"/>
          <w:szCs w:val="32"/>
        </w:rPr>
        <w:t>当i=N时     a</w:t>
      </w:r>
      <w:r w:rsidRPr="00813D79">
        <w:rPr>
          <w:rFonts w:ascii="仿宋_GB2312" w:eastAsia="仿宋_GB2312" w:hAnsi="宋体" w:hint="eastAsia"/>
          <w:sz w:val="32"/>
          <w:szCs w:val="32"/>
          <w:vertAlign w:val="subscript"/>
        </w:rPr>
        <w:t>i</w:t>
      </w:r>
      <w:r w:rsidRPr="00813D79">
        <w:rPr>
          <w:rFonts w:ascii="仿宋_GB2312" w:eastAsia="仿宋_GB2312" w:hAnsi="宋体" w:hint="eastAsia"/>
          <w:sz w:val="32"/>
          <w:szCs w:val="32"/>
        </w:rPr>
        <w:t>=0.5</w:t>
      </w:r>
      <w:r w:rsidRPr="00813D79">
        <w:rPr>
          <w:rFonts w:ascii="仿宋_GB2312" w:eastAsia="仿宋_GB2312" w:hAnsi="宋体" w:hint="eastAsia"/>
          <w:sz w:val="32"/>
          <w:szCs w:val="32"/>
          <w:vertAlign w:val="superscript"/>
        </w:rPr>
        <w:t>N-3</w:t>
      </w:r>
      <w:r w:rsidRPr="00813D79">
        <w:rPr>
          <w:rFonts w:ascii="仿宋_GB2312" w:eastAsia="仿宋_GB2312" w:hAnsi="宋体" w:hint="eastAsia"/>
          <w:sz w:val="32"/>
          <w:szCs w:val="32"/>
        </w:rPr>
        <w:t>×0.2。</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（其中N为作者总人数，i为作者排序，a为合作因子）。</w:t>
      </w:r>
    </w:p>
    <w:p w:rsidR="007E76E8" w:rsidRPr="00813D79" w:rsidRDefault="007E76E8" w:rsidP="007E76E8">
      <w:pPr>
        <w:spacing w:line="540" w:lineRule="exact"/>
        <w:ind w:firstLineChars="200" w:firstLine="600"/>
        <w:rPr>
          <w:rFonts w:ascii="宋体" w:hAnsi="宋体"/>
          <w:sz w:val="30"/>
          <w:szCs w:val="30"/>
        </w:rPr>
      </w:pPr>
      <w:r w:rsidRPr="00813D79">
        <w:rPr>
          <w:rFonts w:ascii="宋体" w:hAnsi="宋体" w:hint="eastAsia"/>
          <w:sz w:val="30"/>
          <w:szCs w:val="30"/>
        </w:rPr>
        <w:t>九人以上合作的，前九人按总数九人套用上述公式；从第十作者开始，不予计算合作因子数值。</w:t>
      </w:r>
    </w:p>
    <w:p w:rsidR="007E76E8" w:rsidRPr="00813D79" w:rsidRDefault="007E76E8" w:rsidP="007E76E8">
      <w:pPr>
        <w:spacing w:line="540" w:lineRule="exact"/>
        <w:ind w:firstLineChars="200" w:firstLine="600"/>
        <w:rPr>
          <w:rFonts w:ascii="宋体" w:hAnsi="宋体"/>
          <w:sz w:val="30"/>
          <w:szCs w:val="30"/>
        </w:rPr>
      </w:pPr>
    </w:p>
    <w:p w:rsidR="00410B1F" w:rsidRPr="00813D79" w:rsidRDefault="00410B1F" w:rsidP="007E76E8">
      <w:pPr>
        <w:spacing w:line="540" w:lineRule="exact"/>
        <w:ind w:firstLineChars="200" w:firstLine="600"/>
        <w:rPr>
          <w:rFonts w:ascii="宋体" w:hAnsi="宋体"/>
          <w:sz w:val="30"/>
          <w:szCs w:val="30"/>
        </w:rPr>
      </w:pPr>
    </w:p>
    <w:p w:rsidR="00410B1F" w:rsidRPr="00813D79" w:rsidRDefault="00410B1F" w:rsidP="007E76E8">
      <w:pPr>
        <w:spacing w:line="540" w:lineRule="exact"/>
        <w:ind w:firstLineChars="200" w:firstLine="600"/>
        <w:rPr>
          <w:rFonts w:ascii="宋体" w:hAnsi="宋体"/>
          <w:sz w:val="30"/>
          <w:szCs w:val="30"/>
        </w:rPr>
      </w:pPr>
    </w:p>
    <w:p w:rsidR="000F5728" w:rsidRPr="00813D79" w:rsidRDefault="00854E7D" w:rsidP="00BC3155">
      <w:pPr>
        <w:spacing w:line="540" w:lineRule="exact"/>
        <w:ind w:firstLineChars="200" w:firstLine="600"/>
        <w:jc w:val="right"/>
        <w:rPr>
          <w:rFonts w:ascii="宋体" w:hAnsi="宋体"/>
          <w:sz w:val="30"/>
          <w:szCs w:val="30"/>
        </w:rPr>
      </w:pPr>
      <w:r w:rsidRPr="00813D79">
        <w:rPr>
          <w:rFonts w:ascii="宋体" w:hAnsi="宋体" w:hint="eastAsia"/>
          <w:sz w:val="30"/>
          <w:szCs w:val="30"/>
        </w:rPr>
        <w:t>厦门大学经济学院</w:t>
      </w:r>
    </w:p>
    <w:p w:rsidR="00CC355A" w:rsidRPr="00813D79" w:rsidRDefault="00D371F6" w:rsidP="007E76E8">
      <w:pPr>
        <w:spacing w:line="540" w:lineRule="exact"/>
        <w:ind w:firstLineChars="200" w:firstLine="600"/>
        <w:jc w:val="right"/>
        <w:rPr>
          <w:rFonts w:ascii="宋体" w:hAnsi="宋体"/>
          <w:sz w:val="30"/>
          <w:szCs w:val="30"/>
        </w:rPr>
      </w:pPr>
      <w:r w:rsidRPr="00813D79">
        <w:rPr>
          <w:rFonts w:ascii="宋体" w:hAnsi="宋体" w:hint="eastAsia"/>
          <w:sz w:val="30"/>
          <w:szCs w:val="30"/>
        </w:rPr>
        <w:t>二0一</w:t>
      </w:r>
      <w:r w:rsidR="0003773E">
        <w:rPr>
          <w:rFonts w:ascii="宋体" w:hAnsi="宋体" w:hint="eastAsia"/>
          <w:sz w:val="30"/>
          <w:szCs w:val="30"/>
        </w:rPr>
        <w:t>五</w:t>
      </w:r>
      <w:r w:rsidR="000F5728" w:rsidRPr="00813D79">
        <w:rPr>
          <w:rFonts w:ascii="宋体" w:hAnsi="宋体" w:hint="eastAsia"/>
          <w:sz w:val="30"/>
          <w:szCs w:val="30"/>
        </w:rPr>
        <w:t>年</w:t>
      </w:r>
      <w:r w:rsidR="0003773E">
        <w:rPr>
          <w:rFonts w:ascii="宋体" w:hAnsi="宋体" w:hint="eastAsia"/>
          <w:sz w:val="30"/>
          <w:szCs w:val="30"/>
        </w:rPr>
        <w:t>九</w:t>
      </w:r>
      <w:r w:rsidR="000F5728" w:rsidRPr="00813D79">
        <w:rPr>
          <w:rFonts w:ascii="宋体" w:hAnsi="宋体" w:hint="eastAsia"/>
          <w:sz w:val="30"/>
          <w:szCs w:val="30"/>
        </w:rPr>
        <w:t>月</w:t>
      </w:r>
    </w:p>
    <w:sectPr w:rsidR="00CC355A" w:rsidRPr="00813D79" w:rsidSect="000D3E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F8B" w:rsidRDefault="00C65F8B" w:rsidP="009824F7">
      <w:r>
        <w:separator/>
      </w:r>
    </w:p>
  </w:endnote>
  <w:endnote w:type="continuationSeparator" w:id="0">
    <w:p w:rsidR="00C65F8B" w:rsidRDefault="00C65F8B" w:rsidP="0098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F8B" w:rsidRDefault="00C65F8B" w:rsidP="009824F7">
      <w:r>
        <w:separator/>
      </w:r>
    </w:p>
  </w:footnote>
  <w:footnote w:type="continuationSeparator" w:id="0">
    <w:p w:rsidR="00C65F8B" w:rsidRDefault="00C65F8B" w:rsidP="00982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383"/>
    <w:rsid w:val="00000542"/>
    <w:rsid w:val="0001105E"/>
    <w:rsid w:val="00012EA3"/>
    <w:rsid w:val="0003773E"/>
    <w:rsid w:val="00042B13"/>
    <w:rsid w:val="00067896"/>
    <w:rsid w:val="0009014A"/>
    <w:rsid w:val="00095B30"/>
    <w:rsid w:val="000A2645"/>
    <w:rsid w:val="000A55C6"/>
    <w:rsid w:val="000C473F"/>
    <w:rsid w:val="000D2293"/>
    <w:rsid w:val="000D3EE7"/>
    <w:rsid w:val="000D5F6B"/>
    <w:rsid w:val="000E1B96"/>
    <w:rsid w:val="000F24C5"/>
    <w:rsid w:val="000F5728"/>
    <w:rsid w:val="00135799"/>
    <w:rsid w:val="001478CA"/>
    <w:rsid w:val="0017441A"/>
    <w:rsid w:val="00180051"/>
    <w:rsid w:val="001925D6"/>
    <w:rsid w:val="00194860"/>
    <w:rsid w:val="001A1933"/>
    <w:rsid w:val="001A7243"/>
    <w:rsid w:val="001C196D"/>
    <w:rsid w:val="001D11B4"/>
    <w:rsid w:val="001D1D3C"/>
    <w:rsid w:val="001E0DC0"/>
    <w:rsid w:val="002025ED"/>
    <w:rsid w:val="00203B73"/>
    <w:rsid w:val="002118F2"/>
    <w:rsid w:val="00224AB7"/>
    <w:rsid w:val="0024372A"/>
    <w:rsid w:val="00253DDA"/>
    <w:rsid w:val="0026401D"/>
    <w:rsid w:val="00275732"/>
    <w:rsid w:val="00283D24"/>
    <w:rsid w:val="002A69B2"/>
    <w:rsid w:val="002C6485"/>
    <w:rsid w:val="002D53E2"/>
    <w:rsid w:val="002F1D5E"/>
    <w:rsid w:val="00314653"/>
    <w:rsid w:val="003166FB"/>
    <w:rsid w:val="00331E1E"/>
    <w:rsid w:val="00334081"/>
    <w:rsid w:val="00344AE7"/>
    <w:rsid w:val="00355383"/>
    <w:rsid w:val="003559E7"/>
    <w:rsid w:val="00357E80"/>
    <w:rsid w:val="003869D7"/>
    <w:rsid w:val="003A72B4"/>
    <w:rsid w:val="003B3620"/>
    <w:rsid w:val="003D6F0A"/>
    <w:rsid w:val="003F4E0E"/>
    <w:rsid w:val="004013AC"/>
    <w:rsid w:val="004018B4"/>
    <w:rsid w:val="00402544"/>
    <w:rsid w:val="00410B1F"/>
    <w:rsid w:val="00411698"/>
    <w:rsid w:val="00411942"/>
    <w:rsid w:val="0041246E"/>
    <w:rsid w:val="004173FB"/>
    <w:rsid w:val="004513CC"/>
    <w:rsid w:val="00452389"/>
    <w:rsid w:val="00453402"/>
    <w:rsid w:val="00491AA8"/>
    <w:rsid w:val="004A0C87"/>
    <w:rsid w:val="004B4934"/>
    <w:rsid w:val="004C3112"/>
    <w:rsid w:val="004C4546"/>
    <w:rsid w:val="004D622A"/>
    <w:rsid w:val="004F0E09"/>
    <w:rsid w:val="004F76AD"/>
    <w:rsid w:val="005120C5"/>
    <w:rsid w:val="00532F38"/>
    <w:rsid w:val="00560898"/>
    <w:rsid w:val="00562FE0"/>
    <w:rsid w:val="00567204"/>
    <w:rsid w:val="00567EE4"/>
    <w:rsid w:val="0059143E"/>
    <w:rsid w:val="00594AE6"/>
    <w:rsid w:val="00596BB0"/>
    <w:rsid w:val="00597DED"/>
    <w:rsid w:val="005B0720"/>
    <w:rsid w:val="005B2C99"/>
    <w:rsid w:val="005F6BA9"/>
    <w:rsid w:val="00612665"/>
    <w:rsid w:val="00616BC0"/>
    <w:rsid w:val="00625C40"/>
    <w:rsid w:val="00631F14"/>
    <w:rsid w:val="00652E00"/>
    <w:rsid w:val="00665425"/>
    <w:rsid w:val="006807D3"/>
    <w:rsid w:val="00693341"/>
    <w:rsid w:val="006967A0"/>
    <w:rsid w:val="006C5BC7"/>
    <w:rsid w:val="006C7816"/>
    <w:rsid w:val="006F211E"/>
    <w:rsid w:val="00722BC2"/>
    <w:rsid w:val="00767242"/>
    <w:rsid w:val="007A3C73"/>
    <w:rsid w:val="007A70D8"/>
    <w:rsid w:val="007D40A7"/>
    <w:rsid w:val="007E6C38"/>
    <w:rsid w:val="007E76E8"/>
    <w:rsid w:val="007F113E"/>
    <w:rsid w:val="00801D16"/>
    <w:rsid w:val="00812887"/>
    <w:rsid w:val="00813D79"/>
    <w:rsid w:val="00813F7E"/>
    <w:rsid w:val="00821742"/>
    <w:rsid w:val="00826F05"/>
    <w:rsid w:val="0083242B"/>
    <w:rsid w:val="00837D28"/>
    <w:rsid w:val="00840D10"/>
    <w:rsid w:val="008532F6"/>
    <w:rsid w:val="00854E7D"/>
    <w:rsid w:val="008657FD"/>
    <w:rsid w:val="00865E7B"/>
    <w:rsid w:val="008702E0"/>
    <w:rsid w:val="00884A8E"/>
    <w:rsid w:val="008D16E6"/>
    <w:rsid w:val="008D1E6B"/>
    <w:rsid w:val="008F2431"/>
    <w:rsid w:val="00904DF8"/>
    <w:rsid w:val="009167F8"/>
    <w:rsid w:val="00916F6C"/>
    <w:rsid w:val="0092543C"/>
    <w:rsid w:val="00927250"/>
    <w:rsid w:val="009824F7"/>
    <w:rsid w:val="00992CB5"/>
    <w:rsid w:val="009B19E0"/>
    <w:rsid w:val="009D4602"/>
    <w:rsid w:val="009D47A3"/>
    <w:rsid w:val="009E1835"/>
    <w:rsid w:val="009E7D78"/>
    <w:rsid w:val="00A06CA7"/>
    <w:rsid w:val="00A10C52"/>
    <w:rsid w:val="00A13AEA"/>
    <w:rsid w:val="00A22F23"/>
    <w:rsid w:val="00A43960"/>
    <w:rsid w:val="00A4544C"/>
    <w:rsid w:val="00A54BDC"/>
    <w:rsid w:val="00A63A29"/>
    <w:rsid w:val="00A8561E"/>
    <w:rsid w:val="00A927F1"/>
    <w:rsid w:val="00A96410"/>
    <w:rsid w:val="00B0590C"/>
    <w:rsid w:val="00B347B2"/>
    <w:rsid w:val="00B737CE"/>
    <w:rsid w:val="00BA0BAE"/>
    <w:rsid w:val="00BA354D"/>
    <w:rsid w:val="00BB67ED"/>
    <w:rsid w:val="00BB7935"/>
    <w:rsid w:val="00BC05C1"/>
    <w:rsid w:val="00BC07FF"/>
    <w:rsid w:val="00BC3155"/>
    <w:rsid w:val="00BC5E6E"/>
    <w:rsid w:val="00BE4D4F"/>
    <w:rsid w:val="00BF237A"/>
    <w:rsid w:val="00BF3DCA"/>
    <w:rsid w:val="00C32D71"/>
    <w:rsid w:val="00C402AB"/>
    <w:rsid w:val="00C41107"/>
    <w:rsid w:val="00C61952"/>
    <w:rsid w:val="00C65F8B"/>
    <w:rsid w:val="00C81B2A"/>
    <w:rsid w:val="00C84484"/>
    <w:rsid w:val="00C95959"/>
    <w:rsid w:val="00CC355A"/>
    <w:rsid w:val="00CE0073"/>
    <w:rsid w:val="00CE565A"/>
    <w:rsid w:val="00CF3B4B"/>
    <w:rsid w:val="00D04619"/>
    <w:rsid w:val="00D0748C"/>
    <w:rsid w:val="00D1624D"/>
    <w:rsid w:val="00D371F6"/>
    <w:rsid w:val="00DC4F2E"/>
    <w:rsid w:val="00DD76FC"/>
    <w:rsid w:val="00DF5633"/>
    <w:rsid w:val="00E03755"/>
    <w:rsid w:val="00E14574"/>
    <w:rsid w:val="00E2417F"/>
    <w:rsid w:val="00E33D44"/>
    <w:rsid w:val="00E50DBD"/>
    <w:rsid w:val="00E53E16"/>
    <w:rsid w:val="00E70C4A"/>
    <w:rsid w:val="00E734FF"/>
    <w:rsid w:val="00E763DC"/>
    <w:rsid w:val="00E90816"/>
    <w:rsid w:val="00E91E2D"/>
    <w:rsid w:val="00EB7B19"/>
    <w:rsid w:val="00EC4CC2"/>
    <w:rsid w:val="00EC708B"/>
    <w:rsid w:val="00ED72C3"/>
    <w:rsid w:val="00EE7904"/>
    <w:rsid w:val="00F158E5"/>
    <w:rsid w:val="00F24343"/>
    <w:rsid w:val="00F533F1"/>
    <w:rsid w:val="00F645E8"/>
    <w:rsid w:val="00F767F7"/>
    <w:rsid w:val="00F93181"/>
    <w:rsid w:val="00FA22E9"/>
    <w:rsid w:val="00FB1856"/>
    <w:rsid w:val="00FB3F65"/>
    <w:rsid w:val="00FC0D8E"/>
    <w:rsid w:val="00FD3B7F"/>
    <w:rsid w:val="00FD57D7"/>
    <w:rsid w:val="00FD5C32"/>
    <w:rsid w:val="00FE09A6"/>
    <w:rsid w:val="00FE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B377C1-398D-42D3-BCC0-ADEE0D60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EE7"/>
    <w:pPr>
      <w:widowControl w:val="0"/>
      <w:jc w:val="both"/>
    </w:pPr>
    <w:rPr>
      <w:kern w:val="2"/>
      <w:sz w:val="21"/>
      <w:szCs w:val="24"/>
    </w:rPr>
  </w:style>
  <w:style w:type="paragraph" w:styleId="2">
    <w:name w:val="heading 2"/>
    <w:basedOn w:val="a"/>
    <w:qFormat/>
    <w:rsid w:val="000F572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5383"/>
    <w:rPr>
      <w:color w:val="0000FF"/>
      <w:u w:val="single"/>
    </w:rPr>
  </w:style>
  <w:style w:type="table" w:styleId="a4">
    <w:name w:val="Table Grid"/>
    <w:basedOn w:val="a1"/>
    <w:rsid w:val="00331E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0F5728"/>
    <w:pPr>
      <w:widowControl/>
      <w:spacing w:before="100" w:beforeAutospacing="1" w:after="100" w:afterAutospacing="1"/>
      <w:jc w:val="left"/>
    </w:pPr>
    <w:rPr>
      <w:rFonts w:ascii="宋体" w:hAnsi="宋体" w:cs="宋体"/>
      <w:kern w:val="0"/>
      <w:sz w:val="24"/>
    </w:rPr>
  </w:style>
  <w:style w:type="character" w:styleId="a6">
    <w:name w:val="Strong"/>
    <w:qFormat/>
    <w:rsid w:val="000F5728"/>
    <w:rPr>
      <w:b/>
      <w:bCs/>
    </w:rPr>
  </w:style>
  <w:style w:type="paragraph" w:styleId="a7">
    <w:name w:val="Balloon Text"/>
    <w:basedOn w:val="a"/>
    <w:semiHidden/>
    <w:rsid w:val="00B737CE"/>
    <w:rPr>
      <w:sz w:val="18"/>
      <w:szCs w:val="18"/>
    </w:rPr>
  </w:style>
  <w:style w:type="paragraph" w:styleId="a8">
    <w:name w:val="header"/>
    <w:basedOn w:val="a"/>
    <w:link w:val="Char"/>
    <w:rsid w:val="009824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9824F7"/>
    <w:rPr>
      <w:kern w:val="2"/>
      <w:sz w:val="18"/>
      <w:szCs w:val="18"/>
    </w:rPr>
  </w:style>
  <w:style w:type="paragraph" w:styleId="a9">
    <w:name w:val="footer"/>
    <w:basedOn w:val="a"/>
    <w:link w:val="Char0"/>
    <w:rsid w:val="009824F7"/>
    <w:pPr>
      <w:tabs>
        <w:tab w:val="center" w:pos="4153"/>
        <w:tab w:val="right" w:pos="8306"/>
      </w:tabs>
      <w:snapToGrid w:val="0"/>
      <w:jc w:val="left"/>
    </w:pPr>
    <w:rPr>
      <w:sz w:val="18"/>
      <w:szCs w:val="18"/>
    </w:rPr>
  </w:style>
  <w:style w:type="character" w:customStyle="1" w:styleId="Char0">
    <w:name w:val="页脚 Char"/>
    <w:link w:val="a9"/>
    <w:rsid w:val="009824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4</Pages>
  <Words>297</Words>
  <Characters>1698</Characters>
  <Application>Microsoft Office Word</Application>
  <DocSecurity>0</DocSecurity>
  <Lines>14</Lines>
  <Paragraphs>3</Paragraphs>
  <ScaleCrop>false</ScaleCrop>
  <Company>skc</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微软用户</dc:creator>
  <cp:lastModifiedBy>蔡淑昭(YP201002007)</cp:lastModifiedBy>
  <cp:revision>28</cp:revision>
  <cp:lastPrinted>2012-12-20T08:49:00Z</cp:lastPrinted>
  <dcterms:created xsi:type="dcterms:W3CDTF">2014-10-31T02:04:00Z</dcterms:created>
  <dcterms:modified xsi:type="dcterms:W3CDTF">2017-09-15T11:58:00Z</dcterms:modified>
</cp:coreProperties>
</file>